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552B1" w14:textId="3A765124" w:rsidR="005638A4" w:rsidRPr="009561D0" w:rsidRDefault="006466F2" w:rsidP="000F25F4">
      <w:pPr>
        <w:pStyle w:val="Titre1"/>
        <w:jc w:val="center"/>
        <w:rPr>
          <w:rFonts w:ascii="GTWalsheimProBold" w:hAnsi="GTWalsheimProBold"/>
          <w:b/>
          <w:bCs/>
          <w:i/>
          <w:iCs/>
        </w:rPr>
      </w:pPr>
      <w:r>
        <w:rPr>
          <w:rFonts w:ascii="GTWalsheimProBold" w:hAnsi="GTWalsheimProBold"/>
          <w:b/>
          <w:bCs/>
          <w:color w:val="134A8A" w:themeColor="text2"/>
        </w:rPr>
        <w:t xml:space="preserve">Guide </w:t>
      </w:r>
      <w:r w:rsidRPr="00C00243">
        <w:rPr>
          <w:rFonts w:ascii="GTWalsheimProBold" w:hAnsi="GTWalsheimProBold"/>
          <w:b/>
          <w:bCs/>
          <w:color w:val="134A8A"/>
        </w:rPr>
        <w:t>d’écoute</w:t>
      </w:r>
      <w:r w:rsidR="000F25F4" w:rsidRPr="009561D0">
        <w:rPr>
          <w:rFonts w:ascii="GTWalsheimProBold" w:hAnsi="GTWalsheimProBold"/>
          <w:b/>
          <w:bCs/>
          <w:color w:val="134A8A" w:themeColor="text2"/>
        </w:rPr>
        <w:t xml:space="preserve"> | </w:t>
      </w:r>
      <w:r w:rsidR="00826AF7">
        <w:rPr>
          <w:rFonts w:ascii="GTWalsheimProBold" w:hAnsi="GTWalsheimProBold"/>
          <w:b/>
          <w:bCs/>
          <w:color w:val="134A8A" w:themeColor="text2"/>
        </w:rPr>
        <w:t>« Moi j’ai un ami blanc »</w:t>
      </w:r>
    </w:p>
    <w:p w14:paraId="69A0AB74" w14:textId="400E4C68" w:rsidR="000F25F4" w:rsidRPr="009561D0" w:rsidRDefault="00826AF7" w:rsidP="000F25F4">
      <w:pPr>
        <w:pStyle w:val="Sous-titre"/>
        <w:jc w:val="center"/>
        <w:rPr>
          <w:rFonts w:ascii="GTWalsheimProBold" w:hAnsi="GTWalsheimProBold"/>
        </w:rPr>
      </w:pPr>
      <w:r>
        <w:rPr>
          <w:rFonts w:ascii="GTWalsheimProBold" w:hAnsi="GTWalsheimProBold"/>
        </w:rPr>
        <w:t>Questions par épisode</w:t>
      </w:r>
    </w:p>
    <w:p w14:paraId="24316552" w14:textId="0B39AE12" w:rsidR="00C95C07" w:rsidRDefault="00C95C07" w:rsidP="003E68F4">
      <w:pPr>
        <w:spacing w:after="0"/>
        <w:contextualSpacing/>
        <w:rPr>
          <w:rFonts w:ascii="SuisseIntl-Regular" w:hAnsi="SuisseIntl-Regular"/>
          <w:sz w:val="24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5975"/>
        <w:gridCol w:w="1006"/>
        <w:gridCol w:w="2472"/>
      </w:tblGrid>
      <w:tr w:rsidR="00826AF7" w:rsidRPr="00826AF7" w14:paraId="063BF996" w14:textId="77777777" w:rsidTr="00826AF7">
        <w:tc>
          <w:tcPr>
            <w:tcW w:w="769" w:type="dxa"/>
            <w:tcBorders>
              <w:top w:val="nil"/>
              <w:bottom w:val="nil"/>
            </w:tcBorders>
          </w:tcPr>
          <w:p w14:paraId="588FDC89" w14:textId="7E710B81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  <w:r w:rsidRPr="00826AF7">
              <w:rPr>
                <w:rFonts w:ascii="SuisseIntl-Regular" w:hAnsi="SuisseIntl-Regular"/>
                <w:sz w:val="20"/>
              </w:rPr>
              <w:t>Nom :</w:t>
            </w:r>
          </w:p>
        </w:tc>
        <w:tc>
          <w:tcPr>
            <w:tcW w:w="5975" w:type="dxa"/>
          </w:tcPr>
          <w:p w14:paraId="220C5148" w14:textId="77777777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</w:p>
        </w:tc>
        <w:tc>
          <w:tcPr>
            <w:tcW w:w="1006" w:type="dxa"/>
            <w:tcBorders>
              <w:top w:val="nil"/>
              <w:bottom w:val="nil"/>
            </w:tcBorders>
          </w:tcPr>
          <w:p w14:paraId="4D970502" w14:textId="253C41C3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  <w:r w:rsidRPr="00826AF7">
              <w:rPr>
                <w:rFonts w:ascii="SuisseIntl-Regular" w:hAnsi="SuisseIntl-Regular"/>
                <w:sz w:val="20"/>
              </w:rPr>
              <w:t>Groupe :</w:t>
            </w:r>
          </w:p>
        </w:tc>
        <w:tc>
          <w:tcPr>
            <w:tcW w:w="2472" w:type="dxa"/>
          </w:tcPr>
          <w:p w14:paraId="35A7ED00" w14:textId="77777777" w:rsidR="00826AF7" w:rsidRPr="00826AF7" w:rsidRDefault="00826AF7" w:rsidP="003E68F4">
            <w:pPr>
              <w:contextualSpacing/>
              <w:rPr>
                <w:rFonts w:ascii="SuisseIntl-Regular" w:hAnsi="SuisseIntl-Regular"/>
                <w:sz w:val="20"/>
              </w:rPr>
            </w:pPr>
          </w:p>
        </w:tc>
      </w:tr>
    </w:tbl>
    <w:p w14:paraId="32F5AF7D" w14:textId="6C6995C9" w:rsidR="006466F2" w:rsidRDefault="006466F2" w:rsidP="003E68F4">
      <w:pPr>
        <w:spacing w:after="0"/>
        <w:contextualSpacing/>
        <w:rPr>
          <w:rFonts w:ascii="SuisseIntl-Regular" w:hAnsi="SuisseIntl-Regular"/>
          <w:sz w:val="24"/>
        </w:rPr>
      </w:pPr>
    </w:p>
    <w:tbl>
      <w:tblPr>
        <w:tblStyle w:val="Grilledutableau"/>
        <w:tblW w:w="0" w:type="auto"/>
        <w:tblBorders>
          <w:top w:val="single" w:sz="18" w:space="0" w:color="1C2534"/>
          <w:left w:val="single" w:sz="18" w:space="0" w:color="1C2534"/>
          <w:bottom w:val="single" w:sz="18" w:space="0" w:color="1C2534"/>
          <w:right w:val="single" w:sz="18" w:space="0" w:color="1C2534"/>
          <w:insideH w:val="single" w:sz="18" w:space="0" w:color="1C2534"/>
          <w:insideV w:val="single" w:sz="18" w:space="0" w:color="1C2534"/>
        </w:tblBorders>
        <w:tblLook w:val="04A0" w:firstRow="1" w:lastRow="0" w:firstColumn="1" w:lastColumn="0" w:noHBand="0" w:noVBand="1"/>
      </w:tblPr>
      <w:tblGrid>
        <w:gridCol w:w="10034"/>
      </w:tblGrid>
      <w:tr w:rsidR="006466F2" w14:paraId="734EB152" w14:textId="77777777" w:rsidTr="00715602">
        <w:tc>
          <w:tcPr>
            <w:tcW w:w="10034" w:type="dxa"/>
          </w:tcPr>
          <w:p w14:paraId="3F76F880" w14:textId="6D19CDAA" w:rsidR="006466F2" w:rsidRPr="006466F2" w:rsidRDefault="006466F2" w:rsidP="006466F2">
            <w:pPr>
              <w:spacing w:after="160"/>
              <w:rPr>
                <w:rFonts w:ascii="SuisseIntl-Regular" w:hAnsi="SuisseIntl-Regular"/>
                <w:b/>
                <w:color w:val="1C2534"/>
                <w:sz w:val="24"/>
              </w:rPr>
            </w:pPr>
            <w:r w:rsidRPr="006466F2">
              <w:rPr>
                <w:rFonts w:ascii="SuisseIntl-Regular" w:hAnsi="SuisseIntl-Regular"/>
                <w:b/>
                <w:color w:val="1C2534"/>
                <w:sz w:val="24"/>
              </w:rPr>
              <w:t>Consigne</w:t>
            </w:r>
            <w:r w:rsidR="007E10C3">
              <w:rPr>
                <w:rFonts w:ascii="SuisseIntl-Regular" w:hAnsi="SuisseIntl-Regular"/>
                <w:b/>
                <w:color w:val="1C2534"/>
                <w:sz w:val="24"/>
              </w:rPr>
              <w:t>(</w:t>
            </w:r>
            <w:r w:rsidRPr="006466F2">
              <w:rPr>
                <w:rFonts w:ascii="SuisseIntl-Regular" w:hAnsi="SuisseIntl-Regular"/>
                <w:b/>
                <w:color w:val="1C2534"/>
                <w:sz w:val="24"/>
              </w:rPr>
              <w:t>s</w:t>
            </w:r>
            <w:r w:rsidR="007E10C3">
              <w:rPr>
                <w:rFonts w:ascii="SuisseIntl-Regular" w:hAnsi="SuisseIntl-Regular"/>
                <w:b/>
                <w:color w:val="1C2534"/>
                <w:sz w:val="24"/>
              </w:rPr>
              <w:t>)</w:t>
            </w:r>
          </w:p>
          <w:p w14:paraId="2F3DDCDC" w14:textId="566A2B10" w:rsidR="006466F2" w:rsidRPr="006466F2" w:rsidRDefault="00C31247" w:rsidP="007E10C3">
            <w:pPr>
              <w:spacing w:after="160"/>
              <w:rPr>
                <w:rFonts w:ascii="SuisseIntl-Regular" w:hAnsi="SuisseIntl-Regular"/>
                <w:color w:val="1C2534"/>
                <w:sz w:val="24"/>
              </w:rPr>
            </w:pPr>
            <w:r w:rsidRPr="00C31247">
              <w:rPr>
                <w:rFonts w:ascii="SuisseIntl-Regular" w:hAnsi="SuisseIntl-Regular"/>
                <w:color w:val="1C2534"/>
                <w:sz w:val="24"/>
              </w:rPr>
              <w:t xml:space="preserve">Réponds aux questions </w:t>
            </w:r>
            <w:r w:rsidRPr="00C00243">
              <w:rPr>
                <w:rFonts w:ascii="SuisseIntl-Regular" w:hAnsi="SuisseIntl-Regular"/>
                <w:color w:val="1C2534"/>
                <w:sz w:val="24"/>
              </w:rPr>
              <w:t>suivantes</w:t>
            </w:r>
            <w:r w:rsidRPr="00C31247">
              <w:rPr>
                <w:rFonts w:ascii="SuisseIntl-Regular" w:hAnsi="SuisseIntl-Regular"/>
                <w:color w:val="1C2534"/>
                <w:sz w:val="24"/>
              </w:rPr>
              <w:t xml:space="preserve"> après avoir écouté les capsules de la campagne</w:t>
            </w:r>
            <w:r>
              <w:rPr>
                <w:rFonts w:ascii="SuisseIntl-Regular" w:hAnsi="SuisseIntl-Regular"/>
                <w:color w:val="1C2534"/>
                <w:sz w:val="24"/>
              </w:rPr>
              <w:t>.</w:t>
            </w:r>
          </w:p>
        </w:tc>
      </w:tr>
    </w:tbl>
    <w:p w14:paraId="4917A513" w14:textId="77777777" w:rsidR="00826AF7" w:rsidRPr="003E68F4" w:rsidRDefault="00826AF7" w:rsidP="003E68F4">
      <w:pPr>
        <w:spacing w:after="0"/>
        <w:contextualSpacing/>
        <w:rPr>
          <w:rFonts w:ascii="SuisseIntl-Regular" w:hAnsi="SuisseIntl-Regular"/>
          <w:sz w:val="24"/>
        </w:rPr>
      </w:pPr>
    </w:p>
    <w:p w14:paraId="23C10408" w14:textId="45612F1B" w:rsidR="00C95C07" w:rsidRPr="00616359" w:rsidRDefault="00826AF7" w:rsidP="00C95C07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>Capsule</w:t>
      </w:r>
      <w:r w:rsidR="00616359">
        <w:rPr>
          <w:rFonts w:ascii="GTWalsheimProBold" w:hAnsi="GTWalsheimProBold"/>
          <w:b/>
          <w:color w:val="FF2E0D"/>
          <w:sz w:val="28"/>
        </w:rPr>
        <w:t xml:space="preserve"> 1 – </w:t>
      </w:r>
      <w:r w:rsidRPr="00C00243">
        <w:rPr>
          <w:rFonts w:ascii="GTWalsheimProBold" w:hAnsi="GTWalsheimProBold"/>
          <w:b/>
          <w:color w:val="FF2E0D"/>
          <w:sz w:val="28"/>
        </w:rPr>
        <w:t>Mathieu</w:t>
      </w:r>
    </w:p>
    <w:p w14:paraId="03E156CB" w14:textId="39E582CB" w:rsidR="00142B56" w:rsidRPr="00C00243" w:rsidRDefault="00616359" w:rsidP="00616359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 xml:space="preserve">1. </w:t>
      </w:r>
      <w:r w:rsidR="001A699E" w:rsidRPr="00C00243">
        <w:rPr>
          <w:rFonts w:ascii="GTWalsheimProBold" w:hAnsi="GTWalsheimProBold"/>
          <w:b/>
          <w:color w:val="1C2534"/>
          <w:sz w:val="24"/>
        </w:rPr>
        <w:t xml:space="preserve">Comment décrit-on </w:t>
      </w:r>
      <w:proofErr w:type="gramStart"/>
      <w:r w:rsidR="001A699E" w:rsidRPr="00C00243">
        <w:rPr>
          <w:rFonts w:ascii="GTWalsheimProBold" w:hAnsi="GTWalsheimProBold"/>
          <w:b/>
          <w:color w:val="1C2534"/>
          <w:sz w:val="24"/>
        </w:rPr>
        <w:t>Mathieu?</w:t>
      </w:r>
      <w:proofErr w:type="gramEnd"/>
    </w:p>
    <w:p w14:paraId="3532BC40" w14:textId="59252137" w:rsidR="00364479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80CA8A7" w14:textId="77777777" w:rsidR="001A699E" w:rsidRDefault="001A699E" w:rsidP="001A699E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4EA23CAE" w14:textId="7777777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105DC06A" w14:textId="22882EF6" w:rsidR="00616359" w:rsidRPr="00C00243" w:rsidRDefault="00616359" w:rsidP="00616359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 xml:space="preserve">2. </w:t>
      </w:r>
      <w:r w:rsidR="001A699E" w:rsidRPr="00C00243">
        <w:rPr>
          <w:rFonts w:ascii="GTWalsheimProBold" w:hAnsi="GTWalsheimProBold"/>
          <w:b/>
          <w:color w:val="1C2534"/>
          <w:sz w:val="24"/>
        </w:rPr>
        <w:t>Quel</w:t>
      </w:r>
      <w:r w:rsidR="006D41C9" w:rsidRPr="00C00243">
        <w:rPr>
          <w:rFonts w:ascii="GTWalsheimProBold" w:hAnsi="GTWalsheimProBold"/>
          <w:b/>
          <w:color w:val="1C2534"/>
          <w:sz w:val="24"/>
        </w:rPr>
        <w:t>s</w:t>
      </w:r>
      <w:r w:rsidR="001A699E" w:rsidRPr="00C00243">
        <w:rPr>
          <w:rFonts w:ascii="GTWalsheimProBold" w:hAnsi="GTWalsheimProBold"/>
          <w:b/>
          <w:color w:val="1C2534"/>
          <w:sz w:val="24"/>
        </w:rPr>
        <w:t xml:space="preserve"> sont les préjugés présentés dans cette capsule?</w:t>
      </w:r>
    </w:p>
    <w:p w14:paraId="46048BB0" w14:textId="300201EA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D3103C9" w14:textId="77777777" w:rsidR="001A699E" w:rsidRDefault="001A699E" w:rsidP="001A699E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76FC417" w14:textId="7777777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43761D7B" w14:textId="77777777" w:rsidR="00715602" w:rsidRPr="00C00243" w:rsidRDefault="00715602" w:rsidP="003D7105">
      <w:pPr>
        <w:tabs>
          <w:tab w:val="left" w:leader="underscore" w:pos="10065"/>
        </w:tabs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 xml:space="preserve">3. Quelle était la perception des Blancs selon Plaisir </w:t>
      </w:r>
      <w:proofErr w:type="spellStart"/>
      <w:r w:rsidRPr="00C00243">
        <w:rPr>
          <w:rFonts w:ascii="GTWalsheimProBold" w:hAnsi="GTWalsheimProBold"/>
          <w:b/>
          <w:color w:val="1C2534"/>
          <w:sz w:val="24"/>
        </w:rPr>
        <w:t>Tshilombo</w:t>
      </w:r>
      <w:proofErr w:type="spellEnd"/>
      <w:r w:rsidRPr="00C00243">
        <w:rPr>
          <w:rFonts w:ascii="GTWalsheimProBold" w:hAnsi="GTWalsheimProBold"/>
          <w:b/>
          <w:color w:val="1C2534"/>
          <w:sz w:val="24"/>
        </w:rPr>
        <w:t xml:space="preserve"> avant qu’il rencontre Mathieu ? En quoi sa perception a changé après qu’il ait appris à le connaitre ?</w:t>
      </w:r>
    </w:p>
    <w:p w14:paraId="58B98BF4" w14:textId="2555E23C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AD4D682" w14:textId="02363AB5" w:rsidR="00715602" w:rsidRDefault="00715602" w:rsidP="003D7105">
      <w:pPr>
        <w:tabs>
          <w:tab w:val="left" w:leader="underscore" w:pos="10065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14:paraId="6FA48D75" w14:textId="1D650117" w:rsidR="00616359" w:rsidRPr="003D7105" w:rsidRDefault="00616359" w:rsidP="00694BDA">
      <w:pPr>
        <w:spacing w:after="0"/>
        <w:contextualSpacing/>
        <w:rPr>
          <w:rFonts w:ascii="SuisseIntl-Regular" w:hAnsi="SuisseIntl-Regular"/>
          <w:sz w:val="24"/>
        </w:rPr>
      </w:pPr>
    </w:p>
    <w:p w14:paraId="1690D40F" w14:textId="555741AA" w:rsidR="00616359" w:rsidRPr="00616359" w:rsidRDefault="00826AF7" w:rsidP="00616359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>Capsule</w:t>
      </w:r>
      <w:r w:rsidR="00AD09FC">
        <w:rPr>
          <w:rFonts w:ascii="GTWalsheimProBold" w:hAnsi="GTWalsheimProBold"/>
          <w:b/>
          <w:color w:val="FF2E0D"/>
          <w:sz w:val="28"/>
        </w:rPr>
        <w:t xml:space="preserve"> 2 – </w:t>
      </w:r>
      <w:r>
        <w:rPr>
          <w:rFonts w:ascii="GTWalsheimProBold" w:hAnsi="GTWalsheimProBold"/>
          <w:b/>
          <w:color w:val="FF2E0D"/>
          <w:sz w:val="28"/>
        </w:rPr>
        <w:t>Marie-Philippe</w:t>
      </w:r>
    </w:p>
    <w:p w14:paraId="126A0B35" w14:textId="3C791F52" w:rsidR="006D41C9" w:rsidRPr="00C00243" w:rsidRDefault="006709A6" w:rsidP="006D41C9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4</w:t>
      </w:r>
      <w:r w:rsidR="00AD09FC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6D41C9" w:rsidRPr="00C00243">
        <w:rPr>
          <w:rFonts w:ascii="GTWalsheimProBold" w:hAnsi="GTWalsheimProBold"/>
          <w:b/>
          <w:color w:val="1C2534"/>
          <w:sz w:val="24"/>
        </w:rPr>
        <w:t>Quels sont les préjugés présentés dans cette capsule?</w:t>
      </w:r>
    </w:p>
    <w:p w14:paraId="093CAF46" w14:textId="77777777" w:rsidR="006D41C9" w:rsidRDefault="006D41C9" w:rsidP="006D41C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781CBAB0" w14:textId="77777777" w:rsidR="006D41C9" w:rsidRDefault="006D41C9" w:rsidP="006D41C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5F3ADD05" w14:textId="59A10C84" w:rsidR="003D7105" w:rsidRPr="00715602" w:rsidRDefault="003D7105" w:rsidP="006D41C9">
      <w:pPr>
        <w:spacing w:after="0"/>
        <w:contextualSpacing/>
        <w:rPr>
          <w:rFonts w:ascii="SuisseIntl-Regular" w:hAnsi="SuisseIntl-Regular" w:cstheme="minorHAnsi"/>
          <w:sz w:val="16"/>
          <w:szCs w:val="14"/>
        </w:rPr>
      </w:pPr>
    </w:p>
    <w:p w14:paraId="0D541343" w14:textId="4C092E9A" w:rsidR="00FF4028" w:rsidRPr="00C00243" w:rsidRDefault="006709A6" w:rsidP="00715602">
      <w:pPr>
        <w:spacing w:after="0"/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5</w:t>
      </w:r>
      <w:r w:rsidR="00FF4028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6D41C9" w:rsidRPr="00C00243">
        <w:rPr>
          <w:rFonts w:ascii="GTWalsheimProBold" w:hAnsi="GTWalsheimProBold"/>
          <w:b/>
          <w:color w:val="1C2534"/>
          <w:sz w:val="24"/>
        </w:rPr>
        <w:t>Pourquoi dit-on que Marie-Philippe est « naïve envers la police »?</w:t>
      </w:r>
    </w:p>
    <w:p w14:paraId="163821D6" w14:textId="39BE857D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4887B1CE" w14:textId="644438C3" w:rsidR="006D41C9" w:rsidRDefault="006D41C9" w:rsidP="006D41C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492B16B2" w14:textId="77777777" w:rsidR="00715602" w:rsidRPr="00C00243" w:rsidRDefault="00715602" w:rsidP="003D7105">
      <w:pPr>
        <w:tabs>
          <w:tab w:val="left" w:leader="underscore" w:pos="10065"/>
        </w:tabs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lastRenderedPageBreak/>
        <w:t>6. À la fin de la capsule, que réalise Safia à propos des « blancs »?</w:t>
      </w:r>
    </w:p>
    <w:p w14:paraId="36362942" w14:textId="40A65C2E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6DE1D3C" w14:textId="77777777" w:rsidR="00696889" w:rsidRDefault="00696889" w:rsidP="00696889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446DF56E" w14:textId="2A3E0581" w:rsidR="00616359" w:rsidRPr="003D7105" w:rsidRDefault="00616359" w:rsidP="00694BDA">
      <w:pPr>
        <w:spacing w:after="0"/>
        <w:contextualSpacing/>
        <w:rPr>
          <w:rFonts w:ascii="SuisseIntl-Regular" w:hAnsi="SuisseIntl-Regular"/>
          <w:sz w:val="24"/>
        </w:rPr>
      </w:pPr>
    </w:p>
    <w:p w14:paraId="15DFC351" w14:textId="14C356E9" w:rsidR="00616359" w:rsidRPr="00616359" w:rsidRDefault="00826AF7" w:rsidP="00616359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 xml:space="preserve">Capsule </w:t>
      </w:r>
      <w:r w:rsidR="00F720D6">
        <w:rPr>
          <w:rFonts w:ascii="GTWalsheimProBold" w:hAnsi="GTWalsheimProBold"/>
          <w:b/>
          <w:color w:val="FF2E0D"/>
          <w:sz w:val="28"/>
        </w:rPr>
        <w:t xml:space="preserve">3 </w:t>
      </w:r>
      <w:r w:rsidR="006E72E3">
        <w:rPr>
          <w:rFonts w:ascii="GTWalsheimProBold" w:hAnsi="GTWalsheimProBold"/>
          <w:b/>
          <w:color w:val="FF2E0D"/>
          <w:sz w:val="28"/>
        </w:rPr>
        <w:t>–</w:t>
      </w:r>
      <w:r w:rsidR="00F720D6">
        <w:rPr>
          <w:rFonts w:ascii="GTWalsheimProBold" w:hAnsi="GTWalsheimProBold"/>
          <w:b/>
          <w:color w:val="FF2E0D"/>
          <w:sz w:val="28"/>
        </w:rPr>
        <w:t xml:space="preserve"> </w:t>
      </w:r>
      <w:r>
        <w:rPr>
          <w:rFonts w:ascii="GTWalsheimProBold" w:hAnsi="GTWalsheimProBold"/>
          <w:b/>
          <w:color w:val="FF2E0D"/>
          <w:sz w:val="28"/>
        </w:rPr>
        <w:t>Émile</w:t>
      </w:r>
    </w:p>
    <w:p w14:paraId="3EB481CD" w14:textId="771227BD" w:rsidR="00F720D6" w:rsidRPr="00C00243" w:rsidRDefault="006709A6" w:rsidP="00F720D6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7</w:t>
      </w:r>
      <w:r w:rsidR="00F720D6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7C3EC0" w:rsidRPr="00C00243">
        <w:rPr>
          <w:rFonts w:ascii="GTWalsheimProBold" w:hAnsi="GTWalsheimProBold"/>
          <w:b/>
          <w:color w:val="1C2534"/>
          <w:sz w:val="24"/>
        </w:rPr>
        <w:t>Décris le lien qu’Émile entretient avec la nature?</w:t>
      </w:r>
    </w:p>
    <w:p w14:paraId="292F18FC" w14:textId="7FE12873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AA853F1" w14:textId="33C833A7" w:rsidR="007C3EC0" w:rsidRDefault="007C3EC0" w:rsidP="007C3EC0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EDE4B20" w14:textId="361E80B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13B8ED59" w14:textId="547EB963" w:rsidR="007C3EC0" w:rsidRPr="00C00243" w:rsidRDefault="006709A6" w:rsidP="007C3EC0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8</w:t>
      </w:r>
      <w:r w:rsidR="00F720D6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7C3EC0" w:rsidRPr="00C00243">
        <w:rPr>
          <w:rFonts w:ascii="GTWalsheimProBold" w:hAnsi="GTWalsheimProBold"/>
          <w:b/>
          <w:color w:val="1C2534"/>
          <w:sz w:val="24"/>
        </w:rPr>
        <w:t>Quels sont les préjugés présentés dans cette capsule?</w:t>
      </w:r>
    </w:p>
    <w:p w14:paraId="61B0CAD4" w14:textId="4F6A4EE9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7348AE2" w14:textId="24A8CCBF" w:rsidR="007C3EC0" w:rsidRDefault="007C3EC0" w:rsidP="007C3EC0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7AC3834F" w14:textId="77777777" w:rsidR="00844F83" w:rsidRPr="00844F83" w:rsidRDefault="00844F83" w:rsidP="00844F83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7BD12D26" w14:textId="77777777" w:rsidR="00715602" w:rsidRPr="00C00243" w:rsidRDefault="00715602" w:rsidP="00844F83">
      <w:pPr>
        <w:tabs>
          <w:tab w:val="left" w:leader="underscore" w:pos="10065"/>
        </w:tabs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9. Selon toi, qu’est-ce qui peut rendre une « blague » offensante?</w:t>
      </w:r>
    </w:p>
    <w:p w14:paraId="2AEB160F" w14:textId="43A714AE" w:rsidR="00844F83" w:rsidRDefault="00844F83" w:rsidP="00844F83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17B9F666" w14:textId="77777777" w:rsidR="00844F83" w:rsidRDefault="00844F83" w:rsidP="00844F83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5E1E093" w14:textId="77777777" w:rsidR="00616359" w:rsidRPr="003D7105" w:rsidRDefault="00616359" w:rsidP="00694BDA">
      <w:pPr>
        <w:spacing w:after="0"/>
        <w:contextualSpacing/>
        <w:rPr>
          <w:rFonts w:ascii="SuisseIntl-Regular" w:hAnsi="SuisseIntl-Regular"/>
          <w:sz w:val="24"/>
        </w:rPr>
      </w:pPr>
    </w:p>
    <w:p w14:paraId="003E77D7" w14:textId="6C43DA99" w:rsidR="00F720D6" w:rsidRPr="00616359" w:rsidRDefault="00826AF7" w:rsidP="00F720D6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>Capsule</w:t>
      </w:r>
      <w:r w:rsidR="00F720D6">
        <w:rPr>
          <w:rFonts w:ascii="GTWalsheimProBold" w:hAnsi="GTWalsheimProBold"/>
          <w:b/>
          <w:color w:val="FF2E0D"/>
          <w:sz w:val="28"/>
        </w:rPr>
        <w:t xml:space="preserve"> 4 </w:t>
      </w:r>
      <w:r w:rsidR="006E72E3">
        <w:rPr>
          <w:rFonts w:ascii="GTWalsheimProBold" w:hAnsi="GTWalsheimProBold"/>
          <w:b/>
          <w:color w:val="FF2E0D"/>
          <w:sz w:val="28"/>
        </w:rPr>
        <w:t>–</w:t>
      </w:r>
      <w:r w:rsidR="00F720D6">
        <w:rPr>
          <w:rFonts w:ascii="GTWalsheimProBold" w:hAnsi="GTWalsheimProBold"/>
          <w:b/>
          <w:color w:val="FF2E0D"/>
          <w:sz w:val="28"/>
        </w:rPr>
        <w:t xml:space="preserve"> </w:t>
      </w:r>
      <w:r>
        <w:rPr>
          <w:rFonts w:ascii="GTWalsheimProBold" w:hAnsi="GTWalsheimProBold"/>
          <w:b/>
          <w:color w:val="FF2E0D"/>
          <w:sz w:val="28"/>
        </w:rPr>
        <w:t>M</w:t>
      </w:r>
      <w:r w:rsidR="00553C5C">
        <w:rPr>
          <w:rFonts w:ascii="GTWalsheimProBold" w:hAnsi="GTWalsheimProBold"/>
          <w:b/>
          <w:color w:val="FF2E0D"/>
          <w:sz w:val="28"/>
        </w:rPr>
        <w:t>icheline</w:t>
      </w:r>
    </w:p>
    <w:p w14:paraId="77881678" w14:textId="0139872D" w:rsidR="00F720D6" w:rsidRPr="00C00243" w:rsidRDefault="00F720D6" w:rsidP="00F720D6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1</w:t>
      </w:r>
      <w:r w:rsidR="006709A6" w:rsidRPr="00C00243">
        <w:rPr>
          <w:rFonts w:ascii="GTWalsheimProBold" w:hAnsi="GTWalsheimProBold"/>
          <w:b/>
          <w:color w:val="1C2534"/>
          <w:sz w:val="24"/>
        </w:rPr>
        <w:t>0</w:t>
      </w:r>
      <w:r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553C5C" w:rsidRPr="00C00243">
        <w:rPr>
          <w:rFonts w:ascii="GTWalsheimProBold" w:hAnsi="GTWalsheimProBold"/>
          <w:b/>
          <w:color w:val="1C2534"/>
          <w:sz w:val="24"/>
        </w:rPr>
        <w:t>Quels sont les préjugés présentés dans cette capsule</w:t>
      </w:r>
      <w:r w:rsidR="00715602" w:rsidRPr="00C00243">
        <w:rPr>
          <w:rFonts w:ascii="GTWalsheimProBold" w:hAnsi="GTWalsheimProBold"/>
          <w:b/>
          <w:color w:val="1C2534"/>
          <w:sz w:val="24"/>
        </w:rPr>
        <w:t xml:space="preserve"> </w:t>
      </w:r>
      <w:r w:rsidR="00553C5C" w:rsidRPr="00C00243">
        <w:rPr>
          <w:rFonts w:ascii="GTWalsheimProBold" w:hAnsi="GTWalsheimProBold"/>
          <w:b/>
          <w:color w:val="1C2534"/>
          <w:sz w:val="24"/>
        </w:rPr>
        <w:t>?</w:t>
      </w:r>
    </w:p>
    <w:p w14:paraId="413A0FBC" w14:textId="1FD5040E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BD67738" w14:textId="77777777" w:rsidR="00553C5C" w:rsidRDefault="00553C5C" w:rsidP="00553C5C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B7A75FD" w14:textId="7777777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5C30DB97" w14:textId="4B0B07DD" w:rsidR="006E72E3" w:rsidRPr="00C00243" w:rsidRDefault="00715602" w:rsidP="006E72E3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 xml:space="preserve">11. Pourquoi dit-on qu’il est plus simple d’aborder la culture de Micheline, que de parler de l’histoire de ses ancêtres </w:t>
      </w:r>
      <w:r w:rsidR="00553C5C" w:rsidRPr="00C00243">
        <w:rPr>
          <w:rFonts w:ascii="GTWalsheimProBold" w:hAnsi="GTWalsheimProBold"/>
          <w:b/>
          <w:color w:val="1C2534"/>
          <w:sz w:val="24"/>
        </w:rPr>
        <w:t>?</w:t>
      </w:r>
    </w:p>
    <w:p w14:paraId="525A6346" w14:textId="04B15139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7E510703" w14:textId="77777777" w:rsidR="00553C5C" w:rsidRDefault="00553C5C" w:rsidP="00553C5C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709F5DDA" w14:textId="7777777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4581F8D2" w14:textId="77777777" w:rsidR="00694BDA" w:rsidRDefault="00694BDA">
      <w:pPr>
        <w:rPr>
          <w:rFonts w:ascii="GTWalsheimProBold" w:hAnsi="GTWalsheimProBold"/>
          <w:b/>
          <w:color w:val="4D8BB5"/>
          <w:sz w:val="24"/>
        </w:rPr>
      </w:pPr>
      <w:r>
        <w:rPr>
          <w:rFonts w:ascii="GTWalsheimProBold" w:hAnsi="GTWalsheimProBold"/>
          <w:b/>
          <w:color w:val="4D8BB5"/>
          <w:sz w:val="24"/>
        </w:rPr>
        <w:br w:type="page"/>
      </w:r>
    </w:p>
    <w:p w14:paraId="45B57D8E" w14:textId="48F2AD4A" w:rsidR="006E72E3" w:rsidRPr="00C00243" w:rsidRDefault="006709A6" w:rsidP="006E72E3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lastRenderedPageBreak/>
        <w:t>12</w:t>
      </w:r>
      <w:r w:rsidR="006E72E3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553C5C" w:rsidRPr="00C00243">
        <w:rPr>
          <w:rFonts w:ascii="GTWalsheimProBold" w:hAnsi="GTWalsheimProBold"/>
          <w:b/>
          <w:color w:val="1C2534"/>
          <w:sz w:val="24"/>
        </w:rPr>
        <w:t xml:space="preserve">Qu’est-ce que </w:t>
      </w:r>
      <w:proofErr w:type="spellStart"/>
      <w:r w:rsidR="00553C5C" w:rsidRPr="00C00243">
        <w:rPr>
          <w:rFonts w:ascii="GTWalsheimProBold" w:hAnsi="GTWalsheimProBold"/>
          <w:b/>
          <w:color w:val="1C2534"/>
          <w:sz w:val="24"/>
        </w:rPr>
        <w:t>Maïgan</w:t>
      </w:r>
      <w:proofErr w:type="spellEnd"/>
      <w:r w:rsidR="00553C5C" w:rsidRPr="00C00243">
        <w:rPr>
          <w:rFonts w:ascii="GTWalsheimProBold" w:hAnsi="GTWalsheimProBold"/>
          <w:b/>
          <w:color w:val="1C2534"/>
          <w:sz w:val="24"/>
        </w:rPr>
        <w:t xml:space="preserve"> a appris de ses échanges avec Micheline</w:t>
      </w:r>
      <w:r w:rsidR="00DF0B09" w:rsidRPr="00C00243">
        <w:rPr>
          <w:rFonts w:ascii="GTWalsheimProBold" w:hAnsi="GTWalsheimProBold"/>
          <w:b/>
          <w:color w:val="1C2534"/>
          <w:sz w:val="24"/>
        </w:rPr>
        <w:t>?</w:t>
      </w:r>
    </w:p>
    <w:p w14:paraId="54B5C214" w14:textId="6C5E4B1F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E722240" w14:textId="77777777" w:rsidR="00553C5C" w:rsidRDefault="00553C5C" w:rsidP="00553C5C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68DD45CD" w14:textId="0B965495" w:rsidR="00616359" w:rsidRPr="003D7105" w:rsidRDefault="00616359" w:rsidP="00694BDA">
      <w:pPr>
        <w:spacing w:after="0"/>
        <w:contextualSpacing/>
        <w:rPr>
          <w:rFonts w:ascii="SuisseIntl-Regular" w:hAnsi="SuisseIntl-Regular"/>
          <w:sz w:val="24"/>
        </w:rPr>
      </w:pPr>
    </w:p>
    <w:p w14:paraId="693083CE" w14:textId="0FAAB8BE" w:rsidR="006E72E3" w:rsidRPr="00616359" w:rsidRDefault="00826AF7" w:rsidP="006E72E3">
      <w:pPr>
        <w:rPr>
          <w:rFonts w:ascii="GTWalsheimProBold" w:hAnsi="GTWalsheimProBold"/>
          <w:b/>
          <w:color w:val="FF2E0D"/>
          <w:sz w:val="28"/>
        </w:rPr>
      </w:pPr>
      <w:r>
        <w:rPr>
          <w:rFonts w:ascii="GTWalsheimProBold" w:hAnsi="GTWalsheimProBold"/>
          <w:b/>
          <w:color w:val="FF2E0D"/>
          <w:sz w:val="28"/>
        </w:rPr>
        <w:t xml:space="preserve">Capsule </w:t>
      </w:r>
      <w:r w:rsidR="006E72E3">
        <w:rPr>
          <w:rFonts w:ascii="GTWalsheimProBold" w:hAnsi="GTWalsheimProBold"/>
          <w:b/>
          <w:color w:val="FF2E0D"/>
          <w:sz w:val="28"/>
        </w:rPr>
        <w:t xml:space="preserve">5 – </w:t>
      </w:r>
      <w:r>
        <w:rPr>
          <w:rFonts w:ascii="GTWalsheimProBold" w:hAnsi="GTWalsheimProBold"/>
          <w:b/>
          <w:color w:val="FF2E0D"/>
          <w:sz w:val="28"/>
        </w:rPr>
        <w:t>Xavier</w:t>
      </w:r>
    </w:p>
    <w:p w14:paraId="053D68EE" w14:textId="0DB127CE" w:rsidR="006E72E3" w:rsidRPr="00C00243" w:rsidRDefault="006E72E3" w:rsidP="006E72E3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1</w:t>
      </w:r>
      <w:r w:rsidR="006709A6" w:rsidRPr="00C00243">
        <w:rPr>
          <w:rFonts w:ascii="GTWalsheimProBold" w:hAnsi="GTWalsheimProBold"/>
          <w:b/>
          <w:color w:val="1C2534"/>
          <w:sz w:val="24"/>
        </w:rPr>
        <w:t>3</w:t>
      </w:r>
      <w:r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861AFF" w:rsidRPr="00C00243">
        <w:rPr>
          <w:rFonts w:ascii="GTWalsheimProBold" w:hAnsi="GTWalsheimProBold"/>
          <w:b/>
          <w:color w:val="1C2534"/>
          <w:sz w:val="24"/>
        </w:rPr>
        <w:t>Quels sont les préjugés présentés dans cette capsule?</w:t>
      </w:r>
    </w:p>
    <w:p w14:paraId="1DC78A0F" w14:textId="43C1EA79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F3EDB61" w14:textId="77777777" w:rsidR="00861AFF" w:rsidRDefault="00861AFF" w:rsidP="00861AFF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0B08300D" w14:textId="77777777" w:rsidR="003D7105" w:rsidRPr="003D7105" w:rsidRDefault="003D7105" w:rsidP="003D7105">
      <w:pPr>
        <w:tabs>
          <w:tab w:val="left" w:leader="underscore" w:pos="10065"/>
        </w:tabs>
        <w:spacing w:after="0"/>
        <w:contextualSpacing/>
        <w:rPr>
          <w:rFonts w:ascii="SuisseIntl-Regular" w:hAnsi="SuisseIntl-Regular" w:cstheme="minorHAnsi"/>
          <w:sz w:val="24"/>
        </w:rPr>
      </w:pPr>
    </w:p>
    <w:p w14:paraId="348F39DC" w14:textId="3A59312C" w:rsidR="006E72E3" w:rsidRPr="00C00243" w:rsidRDefault="006709A6" w:rsidP="006E72E3">
      <w:pPr>
        <w:rPr>
          <w:rFonts w:ascii="GTWalsheimProBold" w:hAnsi="GTWalsheimProBold"/>
          <w:b/>
          <w:color w:val="1C2534"/>
          <w:sz w:val="24"/>
        </w:rPr>
      </w:pPr>
      <w:r w:rsidRPr="00C00243">
        <w:rPr>
          <w:rFonts w:ascii="GTWalsheimProBold" w:hAnsi="GTWalsheimProBold"/>
          <w:b/>
          <w:color w:val="1C2534"/>
          <w:sz w:val="24"/>
        </w:rPr>
        <w:t>14</w:t>
      </w:r>
      <w:r w:rsidR="006E72E3" w:rsidRPr="00C00243">
        <w:rPr>
          <w:rFonts w:ascii="GTWalsheimProBold" w:hAnsi="GTWalsheimProBold"/>
          <w:b/>
          <w:color w:val="1C2534"/>
          <w:sz w:val="24"/>
        </w:rPr>
        <w:t xml:space="preserve">. </w:t>
      </w:r>
      <w:r w:rsidR="00861AFF" w:rsidRPr="00C00243">
        <w:rPr>
          <w:rFonts w:ascii="GTWalsheimProBold" w:hAnsi="GTWalsheimProBold"/>
          <w:b/>
          <w:color w:val="1C2534"/>
          <w:sz w:val="24"/>
        </w:rPr>
        <w:t xml:space="preserve">Selon </w:t>
      </w:r>
      <w:proofErr w:type="spellStart"/>
      <w:r w:rsidR="00861AFF" w:rsidRPr="00C00243">
        <w:rPr>
          <w:rFonts w:ascii="GTWalsheimProBold" w:hAnsi="GTWalsheimProBold"/>
          <w:b/>
          <w:color w:val="1C2534"/>
          <w:sz w:val="24"/>
        </w:rPr>
        <w:t>Marie-Jane</w:t>
      </w:r>
      <w:proofErr w:type="spellEnd"/>
      <w:r w:rsidR="00861AFF" w:rsidRPr="00C00243">
        <w:rPr>
          <w:rFonts w:ascii="GTWalsheimProBold" w:hAnsi="GTWalsheimProBold"/>
          <w:b/>
          <w:color w:val="1C2534"/>
          <w:sz w:val="24"/>
        </w:rPr>
        <w:t>, quel</w:t>
      </w:r>
      <w:r w:rsidR="00141ED0" w:rsidRPr="00C00243">
        <w:rPr>
          <w:rFonts w:ascii="GTWalsheimProBold" w:hAnsi="GTWalsheimProBold"/>
          <w:b/>
          <w:color w:val="1C2534"/>
          <w:sz w:val="24"/>
        </w:rPr>
        <w:t>le</w:t>
      </w:r>
      <w:r w:rsidR="00861AFF" w:rsidRPr="00C00243">
        <w:rPr>
          <w:rFonts w:ascii="GTWalsheimProBold" w:hAnsi="GTWalsheimProBold"/>
          <w:b/>
          <w:color w:val="1C2534"/>
          <w:sz w:val="24"/>
        </w:rPr>
        <w:t>s sont les facettes de l’identité de Xavier?</w:t>
      </w:r>
    </w:p>
    <w:p w14:paraId="388715E3" w14:textId="4CCAFC6D" w:rsidR="003D7105" w:rsidRDefault="003D7105" w:rsidP="003D7105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21AA8E8E" w14:textId="77777777" w:rsidR="00861AFF" w:rsidRDefault="00861AFF" w:rsidP="00861AFF">
      <w:pPr>
        <w:tabs>
          <w:tab w:val="left" w:leader="underscore" w:pos="10065"/>
        </w:tabs>
        <w:rPr>
          <w:rFonts w:cstheme="minorHAnsi"/>
          <w:sz w:val="24"/>
        </w:rPr>
      </w:pPr>
      <w:r w:rsidRPr="003D7105">
        <w:rPr>
          <w:rFonts w:cstheme="minorHAnsi"/>
          <w:sz w:val="24"/>
        </w:rPr>
        <w:tab/>
      </w:r>
    </w:p>
    <w:p w14:paraId="3DDB6ADB" w14:textId="77777777" w:rsidR="0011729B" w:rsidRPr="0011729B" w:rsidRDefault="0011729B" w:rsidP="00616359">
      <w:pPr>
        <w:rPr>
          <w:rFonts w:ascii="SuisseIntl-Regular" w:hAnsi="SuisseIntl-Regular"/>
          <w:color w:val="1C2534"/>
          <w:sz w:val="24"/>
        </w:rPr>
      </w:pPr>
      <w:bookmarkStart w:id="0" w:name="_GoBack"/>
      <w:bookmarkEnd w:id="0"/>
    </w:p>
    <w:sectPr w:rsidR="0011729B" w:rsidRPr="0011729B" w:rsidSect="0036447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76" w:right="1080" w:bottom="1440" w:left="1080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065F" w14:textId="77777777" w:rsidR="008C43EC" w:rsidRDefault="008C43EC" w:rsidP="000F25F4">
      <w:pPr>
        <w:spacing w:after="0" w:line="240" w:lineRule="auto"/>
      </w:pPr>
      <w:r>
        <w:separator/>
      </w:r>
    </w:p>
  </w:endnote>
  <w:endnote w:type="continuationSeparator" w:id="0">
    <w:p w14:paraId="24D30156" w14:textId="77777777" w:rsidR="008C43EC" w:rsidRDefault="008C43EC" w:rsidP="000F2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TWalsheimProBold">
    <w:panose1 w:val="02000503040000020003"/>
    <w:charset w:val="00"/>
    <w:family w:val="auto"/>
    <w:pitch w:val="variable"/>
    <w:sig w:usb0="A00002AF" w:usb1="5000206B" w:usb2="00000000" w:usb3="00000000" w:csb0="00000097" w:csb1="00000000"/>
  </w:font>
  <w:font w:name="SuisseIntl-Regular">
    <w:panose1 w:val="020B0504000000000000"/>
    <w:charset w:val="00"/>
    <w:family w:val="swiss"/>
    <w:notTrueType/>
    <w:pitch w:val="variable"/>
    <w:sig w:usb0="A000007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09"/>
      <w:gridCol w:w="801"/>
    </w:tblGrid>
    <w:tr w:rsidR="00132D44" w:rsidRPr="000367C9" w14:paraId="34636245" w14:textId="77777777" w:rsidTr="00132D44">
      <w:tc>
        <w:tcPr>
          <w:tcW w:w="1550" w:type="dxa"/>
          <w:vAlign w:val="center"/>
        </w:tcPr>
        <w:p w14:paraId="07A91ACC" w14:textId="77777777" w:rsidR="00132D44" w:rsidRPr="00E53A82" w:rsidRDefault="00132D44" w:rsidP="00132D44">
          <w:pPr>
            <w:pStyle w:val="Pieddepage"/>
            <w:rPr>
              <w:lang w:val="en-CA"/>
            </w:rPr>
          </w:pPr>
          <w:r w:rsidRPr="00A42FAE">
            <w:rPr>
              <w:noProof/>
              <w:sz w:val="20"/>
              <w:szCs w:val="20"/>
              <w:lang w:eastAsia="fr-CA"/>
            </w:rPr>
            <w:drawing>
              <wp:inline distT="0" distB="0" distL="0" distR="0" wp14:anchorId="63BDB420" wp14:editId="7FB41F44">
                <wp:extent cx="783590" cy="27622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89" cy="27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vAlign w:val="center"/>
        </w:tcPr>
        <w:p w14:paraId="3C258997" w14:textId="77777777" w:rsidR="00BE2808" w:rsidRPr="005F0BEB" w:rsidRDefault="00BE2808" w:rsidP="00BE2808">
          <w:pPr>
            <w:tabs>
              <w:tab w:val="center" w:pos="4320"/>
              <w:tab w:val="right" w:pos="8640"/>
            </w:tabs>
            <w:contextualSpacing/>
            <w:rPr>
              <w:color w:val="516A96"/>
              <w:sz w:val="18"/>
              <w:szCs w:val="18"/>
            </w:rPr>
          </w:pPr>
          <w:r w:rsidRPr="005F0BEB">
            <w:rPr>
              <w:color w:val="516A96"/>
              <w:sz w:val="18"/>
              <w:szCs w:val="18"/>
            </w:rPr>
            <w:t xml:space="preserve">Produit par la </w:t>
          </w:r>
          <w:hyperlink r:id="rId2" w:history="1">
            <w:r w:rsidRPr="005F0BEB">
              <w:rPr>
                <w:rStyle w:val="Lienhypertexte"/>
                <w:color w:val="516A96"/>
                <w:sz w:val="18"/>
                <w:szCs w:val="18"/>
              </w:rPr>
              <w:t>Fondation Monique-Fitz-Back</w:t>
            </w:r>
          </w:hyperlink>
          <w:r w:rsidRPr="005F0BEB">
            <w:rPr>
              <w:color w:val="516A96"/>
              <w:sz w:val="18"/>
              <w:szCs w:val="18"/>
            </w:rPr>
            <w:t xml:space="preserve"> | Fé</w:t>
          </w:r>
          <w:r w:rsidRPr="005F0BEB">
            <w:rPr>
              <w:color w:val="516A96"/>
              <w:sz w:val="20"/>
              <w:szCs w:val="20"/>
            </w:rPr>
            <w:t>vrier</w:t>
          </w:r>
          <w:r w:rsidRPr="005F0BEB">
            <w:rPr>
              <w:color w:val="516A96"/>
              <w:sz w:val="18"/>
              <w:szCs w:val="18"/>
            </w:rPr>
            <w:t xml:space="preserve"> 2021</w:t>
          </w:r>
        </w:p>
        <w:p w14:paraId="2AC58800" w14:textId="071C3C1A" w:rsidR="00132D44" w:rsidRPr="00DC2B49" w:rsidRDefault="00C00243" w:rsidP="00BE2808">
          <w:pPr>
            <w:pStyle w:val="Pieddepage"/>
            <w:tabs>
              <w:tab w:val="left" w:pos="7200"/>
            </w:tabs>
            <w:contextualSpacing/>
            <w:rPr>
              <w:lang w:val="en-CA"/>
            </w:rPr>
          </w:pPr>
          <w:hyperlink r:id="rId3" w:history="1">
            <w:r w:rsidR="00BE2808" w:rsidRPr="005F0BEB">
              <w:rPr>
                <w:rStyle w:val="Lienhypertexte"/>
                <w:color w:val="516A96"/>
                <w:sz w:val="18"/>
                <w:szCs w:val="18"/>
                <w:lang w:val="en-CA"/>
              </w:rPr>
              <w:t>Creative Commons</w:t>
            </w:r>
          </w:hyperlink>
        </w:p>
      </w:tc>
      <w:tc>
        <w:tcPr>
          <w:tcW w:w="801" w:type="dxa"/>
        </w:tcPr>
        <w:sdt>
          <w:sdtPr>
            <w:id w:val="-1571801392"/>
            <w:docPartObj>
              <w:docPartGallery w:val="Page Numbers (Bottom of Page)"/>
              <w:docPartUnique/>
            </w:docPartObj>
          </w:sdtPr>
          <w:sdtEndPr/>
          <w:sdtContent>
            <w:p w14:paraId="76FF1F5E" w14:textId="2EF6430D" w:rsidR="00132D44" w:rsidRPr="000367C9" w:rsidRDefault="00132D44" w:rsidP="00132D44">
              <w:pPr>
                <w:pStyle w:val="Pieddepage"/>
                <w:jc w:val="right"/>
              </w:pP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begin"/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instrText>PAGE   \* MERGEFORMAT</w:instrTex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separate"/>
              </w:r>
              <w:r w:rsidR="00C00243">
                <w:rPr>
                  <w:rFonts w:ascii="GTWalsheimProBold" w:hAnsi="GTWalsheimProBold"/>
                  <w:b/>
                  <w:bCs/>
                  <w:noProof/>
                  <w:color w:val="1C2534"/>
                  <w:sz w:val="32"/>
                  <w:szCs w:val="32"/>
                </w:rPr>
                <w:t>3</w: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14:paraId="2EE66BF1" w14:textId="77777777" w:rsidR="00364479" w:rsidRDefault="003644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09"/>
      <w:gridCol w:w="801"/>
    </w:tblGrid>
    <w:tr w:rsidR="009E0799" w:rsidRPr="000367C9" w14:paraId="52D2CCA4" w14:textId="77777777" w:rsidTr="00132D44">
      <w:tc>
        <w:tcPr>
          <w:tcW w:w="1550" w:type="dxa"/>
          <w:vAlign w:val="center"/>
        </w:tcPr>
        <w:p w14:paraId="21B28BA3" w14:textId="452599F6" w:rsidR="009E0799" w:rsidRPr="00E53A82" w:rsidRDefault="00132D44" w:rsidP="00132D44">
          <w:pPr>
            <w:pStyle w:val="Pieddepage"/>
            <w:rPr>
              <w:lang w:val="en-CA"/>
            </w:rPr>
          </w:pPr>
          <w:r w:rsidRPr="00A42FAE">
            <w:rPr>
              <w:noProof/>
              <w:sz w:val="20"/>
              <w:szCs w:val="20"/>
              <w:lang w:eastAsia="fr-CA"/>
            </w:rPr>
            <w:drawing>
              <wp:inline distT="0" distB="0" distL="0" distR="0" wp14:anchorId="4E904A68" wp14:editId="10836208">
                <wp:extent cx="783590" cy="276225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289" cy="277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9" w:type="dxa"/>
          <w:vAlign w:val="center"/>
        </w:tcPr>
        <w:p w14:paraId="4D48D782" w14:textId="77777777" w:rsidR="00BE2808" w:rsidRPr="005F0BEB" w:rsidRDefault="00BE2808" w:rsidP="00BE2808">
          <w:pPr>
            <w:tabs>
              <w:tab w:val="center" w:pos="4320"/>
              <w:tab w:val="right" w:pos="8640"/>
            </w:tabs>
            <w:contextualSpacing/>
            <w:rPr>
              <w:color w:val="516A96"/>
              <w:sz w:val="18"/>
              <w:szCs w:val="18"/>
            </w:rPr>
          </w:pPr>
          <w:r w:rsidRPr="005F0BEB">
            <w:rPr>
              <w:color w:val="516A96"/>
              <w:sz w:val="18"/>
              <w:szCs w:val="18"/>
            </w:rPr>
            <w:t xml:space="preserve">Produit par la </w:t>
          </w:r>
          <w:hyperlink r:id="rId2" w:history="1">
            <w:r w:rsidRPr="005F0BEB">
              <w:rPr>
                <w:rStyle w:val="Lienhypertexte"/>
                <w:color w:val="516A96"/>
                <w:sz w:val="18"/>
                <w:szCs w:val="18"/>
              </w:rPr>
              <w:t>Fondation Monique-Fitz-Back</w:t>
            </w:r>
          </w:hyperlink>
          <w:r w:rsidRPr="005F0BEB">
            <w:rPr>
              <w:color w:val="516A96"/>
              <w:sz w:val="18"/>
              <w:szCs w:val="18"/>
            </w:rPr>
            <w:t xml:space="preserve"> | Fé</w:t>
          </w:r>
          <w:r w:rsidRPr="005F0BEB">
            <w:rPr>
              <w:color w:val="516A96"/>
              <w:sz w:val="20"/>
              <w:szCs w:val="20"/>
            </w:rPr>
            <w:t>vrier</w:t>
          </w:r>
          <w:r w:rsidRPr="005F0BEB">
            <w:rPr>
              <w:color w:val="516A96"/>
              <w:sz w:val="18"/>
              <w:szCs w:val="18"/>
            </w:rPr>
            <w:t xml:space="preserve"> 2021</w:t>
          </w:r>
        </w:p>
        <w:p w14:paraId="59A3B7D1" w14:textId="7E8087D0" w:rsidR="009E0799" w:rsidRPr="00DC2B49" w:rsidRDefault="00C00243" w:rsidP="00BE2808">
          <w:pPr>
            <w:pStyle w:val="Pieddepage"/>
            <w:tabs>
              <w:tab w:val="left" w:pos="7200"/>
            </w:tabs>
            <w:contextualSpacing/>
            <w:rPr>
              <w:lang w:val="en-CA"/>
            </w:rPr>
          </w:pPr>
          <w:hyperlink r:id="rId3" w:history="1">
            <w:r w:rsidR="00BE2808" w:rsidRPr="005F0BEB">
              <w:rPr>
                <w:rStyle w:val="Lienhypertexte"/>
                <w:color w:val="516A96"/>
                <w:sz w:val="18"/>
                <w:szCs w:val="18"/>
                <w:lang w:val="en-CA"/>
              </w:rPr>
              <w:t>Creative Commons</w:t>
            </w:r>
          </w:hyperlink>
        </w:p>
      </w:tc>
      <w:tc>
        <w:tcPr>
          <w:tcW w:w="801" w:type="dxa"/>
        </w:tcPr>
        <w:sdt>
          <w:sdtPr>
            <w:id w:val="988365813"/>
            <w:docPartObj>
              <w:docPartGallery w:val="Page Numbers (Bottom of Page)"/>
              <w:docPartUnique/>
            </w:docPartObj>
          </w:sdtPr>
          <w:sdtEndPr/>
          <w:sdtContent>
            <w:p w14:paraId="78CFB154" w14:textId="5DD40C24" w:rsidR="009E0799" w:rsidRPr="000367C9" w:rsidRDefault="009E0799" w:rsidP="009E0799">
              <w:pPr>
                <w:pStyle w:val="Pieddepage"/>
                <w:jc w:val="right"/>
              </w:pP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begin"/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instrText>PAGE   \* MERGEFORMAT</w:instrTex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separate"/>
              </w:r>
              <w:r w:rsidR="00C00243">
                <w:rPr>
                  <w:rFonts w:ascii="GTWalsheimProBold" w:hAnsi="GTWalsheimProBold"/>
                  <w:b/>
                  <w:bCs/>
                  <w:noProof/>
                  <w:color w:val="1C2534"/>
                  <w:sz w:val="32"/>
                  <w:szCs w:val="32"/>
                </w:rPr>
                <w:t>1</w:t>
              </w:r>
              <w:r w:rsidRPr="008F5995">
                <w:rPr>
                  <w:rFonts w:ascii="GTWalsheimProBold" w:hAnsi="GTWalsheimProBold"/>
                  <w:b/>
                  <w:bCs/>
                  <w:color w:val="1C2534"/>
                  <w:sz w:val="32"/>
                  <w:szCs w:val="32"/>
                </w:rPr>
                <w:fldChar w:fldCharType="end"/>
              </w:r>
            </w:p>
          </w:sdtContent>
        </w:sdt>
      </w:tc>
    </w:tr>
  </w:tbl>
  <w:p w14:paraId="1CE74EFB" w14:textId="77777777" w:rsidR="009E0799" w:rsidRDefault="009E07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4C50C" w14:textId="77777777" w:rsidR="008C43EC" w:rsidRDefault="008C43EC" w:rsidP="000F25F4">
      <w:pPr>
        <w:spacing w:after="0" w:line="240" w:lineRule="auto"/>
      </w:pPr>
      <w:r>
        <w:separator/>
      </w:r>
    </w:p>
  </w:footnote>
  <w:footnote w:type="continuationSeparator" w:id="0">
    <w:p w14:paraId="5DE37862" w14:textId="77777777" w:rsidR="008C43EC" w:rsidRDefault="008C43EC" w:rsidP="000F2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A071A" w14:textId="5A8CD153" w:rsidR="009E0799" w:rsidRPr="003D75A7" w:rsidRDefault="006466F2" w:rsidP="003D75A7">
    <w:pPr>
      <w:pStyle w:val="En-tte"/>
      <w:jc w:val="right"/>
    </w:pPr>
    <w:r>
      <w:rPr>
        <w:rFonts w:ascii="GTWalsheimProBold" w:hAnsi="GTWalsheimProBold"/>
        <w:color w:val="134A8A"/>
        <w:sz w:val="20"/>
        <w:szCs w:val="20"/>
      </w:rPr>
      <w:t>Guide d’écoute</w:t>
    </w:r>
    <w:r w:rsidR="003D75A7" w:rsidRPr="003D75A7">
      <w:rPr>
        <w:rFonts w:ascii="GTWalsheimProBold" w:hAnsi="GTWalsheimProBold"/>
        <w:color w:val="134A8A"/>
        <w:sz w:val="20"/>
        <w:szCs w:val="20"/>
      </w:rPr>
      <w:t xml:space="preserve"> </w:t>
    </w:r>
    <w:r w:rsidR="003D75A7" w:rsidRPr="003D75A7">
      <w:rPr>
        <w:rFonts w:ascii="GTWalsheimProBold" w:hAnsi="GTWalsheimProBold"/>
        <w:color w:val="4D8BB5"/>
        <w:sz w:val="20"/>
        <w:szCs w:val="20"/>
      </w:rPr>
      <w:t>|</w:t>
    </w:r>
    <w:r w:rsidR="003D75A7">
      <w:rPr>
        <w:rFonts w:ascii="GTWalsheimProBold" w:hAnsi="GTWalsheimProBold"/>
        <w:color w:val="1C2534"/>
        <w:sz w:val="20"/>
        <w:szCs w:val="20"/>
      </w:rPr>
      <w:t xml:space="preserve"> </w:t>
    </w:r>
    <w:r w:rsidR="00FA5FB3">
      <w:rPr>
        <w:rFonts w:ascii="GTWalsheimProBold" w:hAnsi="GTWalsheimProBold"/>
        <w:color w:val="1C2534"/>
        <w:sz w:val="20"/>
        <w:szCs w:val="20"/>
      </w:rPr>
      <w:t>« Moi j’ai un ami blanc 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25D0" w14:textId="2D425993" w:rsidR="00364479" w:rsidRDefault="009E0799">
    <w:pPr>
      <w:pStyle w:val="En-tte"/>
    </w:pPr>
    <w:r w:rsidRPr="00364479">
      <w:rPr>
        <w:noProof/>
        <w:lang w:eastAsia="fr-CA"/>
      </w:rPr>
      <w:drawing>
        <wp:anchor distT="0" distB="0" distL="114300" distR="114300" simplePos="0" relativeHeight="251664384" behindDoc="0" locked="0" layoutInCell="1" allowOverlap="1" wp14:anchorId="38728B2F" wp14:editId="20E665F2">
          <wp:simplePos x="0" y="0"/>
          <wp:positionH relativeFrom="column">
            <wp:posOffset>5485130</wp:posOffset>
          </wp:positionH>
          <wp:positionV relativeFrom="paragraph">
            <wp:posOffset>-397510</wp:posOffset>
          </wp:positionV>
          <wp:extent cx="1581150" cy="750570"/>
          <wp:effectExtent l="0" t="0" r="0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1" t="15774" r="14655" b="16807"/>
                  <a:stretch/>
                </pic:blipFill>
                <pic:spPr bwMode="auto">
                  <a:xfrm>
                    <a:off x="0" y="0"/>
                    <a:ext cx="1581150" cy="75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79" w:rsidRPr="00364479"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7CC45A32" wp14:editId="4C3ED10B">
          <wp:simplePos x="0" y="0"/>
          <wp:positionH relativeFrom="column">
            <wp:posOffset>-340352</wp:posOffset>
          </wp:positionH>
          <wp:positionV relativeFrom="paragraph">
            <wp:posOffset>-257810</wp:posOffset>
          </wp:positionV>
          <wp:extent cx="1447800" cy="478790"/>
          <wp:effectExtent l="0" t="0" r="0" b="0"/>
          <wp:wrapTight wrapText="bothSides">
            <wp:wrapPolygon edited="0">
              <wp:start x="0" y="0"/>
              <wp:lineTo x="0" y="13751"/>
              <wp:lineTo x="853" y="14610"/>
              <wp:lineTo x="3126" y="15469"/>
              <wp:lineTo x="3126" y="20626"/>
              <wp:lineTo x="13358" y="20626"/>
              <wp:lineTo x="13642" y="17188"/>
              <wp:lineTo x="21316" y="14610"/>
              <wp:lineTo x="21316" y="3438"/>
              <wp:lineTo x="9663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479" w:rsidRPr="00364479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55D28" wp14:editId="220CDA7D">
              <wp:simplePos x="0" y="0"/>
              <wp:positionH relativeFrom="margin">
                <wp:posOffset>-735965</wp:posOffset>
              </wp:positionH>
              <wp:positionV relativeFrom="paragraph">
                <wp:posOffset>-472440</wp:posOffset>
              </wp:positionV>
              <wp:extent cx="7886700" cy="8286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8286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439AA50" id="Rectangle 7" o:spid="_x0000_s1026" style="position:absolute;margin-left:-57.95pt;margin-top:-37.2pt;width:621pt;height:65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" fillcolor="#1c2534 [3213]" strokecolor="#1c2534 [3213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92767"/>
    <w:multiLevelType w:val="hybridMultilevel"/>
    <w:tmpl w:val="56B23F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C1918"/>
    <w:multiLevelType w:val="hybridMultilevel"/>
    <w:tmpl w:val="79E0FC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C07"/>
    <w:rsid w:val="000F25F4"/>
    <w:rsid w:val="0011729B"/>
    <w:rsid w:val="00132D44"/>
    <w:rsid w:val="00141ED0"/>
    <w:rsid w:val="00142B56"/>
    <w:rsid w:val="001A699E"/>
    <w:rsid w:val="00364479"/>
    <w:rsid w:val="00386E14"/>
    <w:rsid w:val="003D7105"/>
    <w:rsid w:val="003D75A7"/>
    <w:rsid w:val="003E68F4"/>
    <w:rsid w:val="00553C5C"/>
    <w:rsid w:val="005638A4"/>
    <w:rsid w:val="00616359"/>
    <w:rsid w:val="0063383A"/>
    <w:rsid w:val="006466F2"/>
    <w:rsid w:val="006709A6"/>
    <w:rsid w:val="00694BDA"/>
    <w:rsid w:val="00696889"/>
    <w:rsid w:val="006D41C9"/>
    <w:rsid w:val="006E72E3"/>
    <w:rsid w:val="00715602"/>
    <w:rsid w:val="007C3EC0"/>
    <w:rsid w:val="007E10C3"/>
    <w:rsid w:val="00826AF7"/>
    <w:rsid w:val="00844F83"/>
    <w:rsid w:val="0085417B"/>
    <w:rsid w:val="00861AFF"/>
    <w:rsid w:val="008C43EC"/>
    <w:rsid w:val="008D43C0"/>
    <w:rsid w:val="009561D0"/>
    <w:rsid w:val="009E0799"/>
    <w:rsid w:val="00A40069"/>
    <w:rsid w:val="00AD09FC"/>
    <w:rsid w:val="00BA00D6"/>
    <w:rsid w:val="00BE2808"/>
    <w:rsid w:val="00C00243"/>
    <w:rsid w:val="00C31247"/>
    <w:rsid w:val="00C95C07"/>
    <w:rsid w:val="00D25642"/>
    <w:rsid w:val="00D32AD2"/>
    <w:rsid w:val="00DF0B09"/>
    <w:rsid w:val="00F720D6"/>
    <w:rsid w:val="00FA5FB3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9428CD"/>
  <w15:chartTrackingRefBased/>
  <w15:docId w15:val="{0CF46C19-1BC4-4038-BAA7-9EB42DAF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F2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86888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C0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F25F4"/>
    <w:rPr>
      <w:rFonts w:asciiTheme="majorHAnsi" w:eastAsiaTheme="majorEastAsia" w:hAnsiTheme="majorHAnsi" w:cstheme="majorBidi"/>
      <w:color w:val="386888" w:themeColor="accent1" w:themeShade="BF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F25F4"/>
    <w:pPr>
      <w:numPr>
        <w:ilvl w:val="1"/>
      </w:numPr>
    </w:pPr>
    <w:rPr>
      <w:rFonts w:eastAsiaTheme="minorEastAsia"/>
      <w:color w:val="516A9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F25F4"/>
    <w:rPr>
      <w:rFonts w:eastAsiaTheme="minorEastAsia"/>
      <w:color w:val="516A96" w:themeColor="text1" w:themeTint="A5"/>
      <w:spacing w:val="15"/>
    </w:rPr>
  </w:style>
  <w:style w:type="paragraph" w:styleId="En-tte">
    <w:name w:val="header"/>
    <w:basedOn w:val="Normal"/>
    <w:link w:val="En-tteCar"/>
    <w:uiPriority w:val="99"/>
    <w:unhideWhenUsed/>
    <w:rsid w:val="000F2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5F4"/>
  </w:style>
  <w:style w:type="paragraph" w:styleId="Pieddepage">
    <w:name w:val="footer"/>
    <w:basedOn w:val="Normal"/>
    <w:link w:val="PieddepageCar"/>
    <w:uiPriority w:val="99"/>
    <w:unhideWhenUsed/>
    <w:rsid w:val="000F25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5F4"/>
  </w:style>
  <w:style w:type="character" w:styleId="Lienhypertexte">
    <w:name w:val="Hyperlink"/>
    <w:basedOn w:val="Policepardfaut"/>
    <w:uiPriority w:val="99"/>
    <w:unhideWhenUsed/>
    <w:rsid w:val="0036447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64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/2.0/deed.fr" TargetMode="External"/><Relationship Id="rId2" Type="http://schemas.openxmlformats.org/officeDocument/2006/relationships/hyperlink" Target="https://fondationmf.ca/nous-joindre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Vivre ensemble">
      <a:dk1>
        <a:srgbClr val="1C2534"/>
      </a:dk1>
      <a:lt1>
        <a:sysClr val="window" lastClr="FFFFFF"/>
      </a:lt1>
      <a:dk2>
        <a:srgbClr val="134A8A"/>
      </a:dk2>
      <a:lt2>
        <a:srgbClr val="F7F5E3"/>
      </a:lt2>
      <a:accent1>
        <a:srgbClr val="4D8BB5"/>
      </a:accent1>
      <a:accent2>
        <a:srgbClr val="FCA63D"/>
      </a:accent2>
      <a:accent3>
        <a:srgbClr val="F7F5E3"/>
      </a:accent3>
      <a:accent4>
        <a:srgbClr val="FF2E0D"/>
      </a:accent4>
      <a:accent5>
        <a:srgbClr val="FFC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09B2E-B2BB-4D25-971B-4E5C4C10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Adultes Québec</dc:creator>
  <cp:keywords/>
  <dc:description/>
  <cp:lastModifiedBy>Tech</cp:lastModifiedBy>
  <cp:revision>10</cp:revision>
  <dcterms:created xsi:type="dcterms:W3CDTF">2021-02-24T19:44:00Z</dcterms:created>
  <dcterms:modified xsi:type="dcterms:W3CDTF">2021-03-08T15:45:00Z</dcterms:modified>
</cp:coreProperties>
</file>